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9B" w:rsidRDefault="005F669B" w:rsidP="00187FC6">
      <w:pPr>
        <w:shd w:val="clear" w:color="auto" w:fill="FFFFFF"/>
        <w:spacing w:after="240" w:line="240" w:lineRule="atLeast"/>
        <w:jc w:val="both"/>
        <w:outlineLvl w:val="3"/>
        <w:rPr>
          <w:rFonts w:eastAsia="Times New Roman" w:cs="Lucida Sans Unicode"/>
          <w:b/>
          <w:sz w:val="28"/>
          <w:szCs w:val="28"/>
          <w:lang w:eastAsia="fr-FR"/>
        </w:rPr>
      </w:pPr>
      <w:r>
        <w:rPr>
          <w:rFonts w:eastAsia="Times New Roman" w:cs="Lucida Sans Unicode"/>
          <w:b/>
          <w:noProof/>
          <w:sz w:val="28"/>
          <w:szCs w:val="28"/>
          <w:lang w:eastAsia="fr-FR"/>
        </w:rPr>
        <w:drawing>
          <wp:inline distT="0" distB="0" distL="0" distR="0">
            <wp:extent cx="1352550" cy="967598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daf 9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850" cy="97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69B" w:rsidRDefault="005F669B" w:rsidP="00187FC6">
      <w:pPr>
        <w:shd w:val="clear" w:color="auto" w:fill="FFFFFF"/>
        <w:spacing w:after="240" w:line="240" w:lineRule="atLeast"/>
        <w:jc w:val="both"/>
        <w:outlineLvl w:val="3"/>
        <w:rPr>
          <w:rFonts w:eastAsia="Times New Roman" w:cs="Lucida Sans Unicode"/>
          <w:b/>
          <w:sz w:val="28"/>
          <w:szCs w:val="28"/>
          <w:lang w:eastAsia="fr-FR"/>
        </w:rPr>
      </w:pPr>
    </w:p>
    <w:p w:rsidR="005F669B" w:rsidRDefault="005F669B" w:rsidP="00187FC6">
      <w:pPr>
        <w:shd w:val="clear" w:color="auto" w:fill="FFFFFF"/>
        <w:spacing w:after="240" w:line="240" w:lineRule="atLeast"/>
        <w:jc w:val="both"/>
        <w:outlineLvl w:val="3"/>
        <w:rPr>
          <w:rFonts w:eastAsia="Times New Roman" w:cs="Lucida Sans Unicode"/>
          <w:b/>
          <w:sz w:val="28"/>
          <w:szCs w:val="28"/>
          <w:lang w:eastAsia="fr-FR"/>
        </w:rPr>
      </w:pPr>
    </w:p>
    <w:p w:rsidR="005C03A7" w:rsidRPr="00187FC6" w:rsidRDefault="005C03A7" w:rsidP="00187FC6">
      <w:pPr>
        <w:shd w:val="clear" w:color="auto" w:fill="FFFFFF"/>
        <w:spacing w:after="240" w:line="240" w:lineRule="atLeast"/>
        <w:jc w:val="both"/>
        <w:outlineLvl w:val="3"/>
        <w:rPr>
          <w:rFonts w:eastAsia="Times New Roman" w:cs="Lucida Sans Unicode"/>
          <w:b/>
          <w:sz w:val="28"/>
          <w:szCs w:val="28"/>
          <w:lang w:eastAsia="fr-FR"/>
        </w:rPr>
      </w:pPr>
      <w:r w:rsidRPr="00187FC6">
        <w:rPr>
          <w:rFonts w:eastAsia="Times New Roman" w:cs="Lucida Sans Unicode"/>
          <w:b/>
          <w:sz w:val="28"/>
          <w:szCs w:val="28"/>
          <w:lang w:eastAsia="fr-FR"/>
        </w:rPr>
        <w:t xml:space="preserve">Qu’est-ce que l’Index de l’égalité professionnelle entre les hommes et les femmes ? </w:t>
      </w:r>
    </w:p>
    <w:p w:rsidR="00353E89" w:rsidRDefault="00353E89" w:rsidP="00187FC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Lucida Sans Unicode"/>
          <w:sz w:val="24"/>
          <w:szCs w:val="24"/>
          <w:lang w:eastAsia="fr-FR"/>
        </w:rPr>
      </w:pPr>
    </w:p>
    <w:p w:rsidR="005C03A7" w:rsidRPr="00187FC6" w:rsidRDefault="005C03A7" w:rsidP="00187FC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Lucida Sans Unicode"/>
          <w:sz w:val="24"/>
          <w:szCs w:val="24"/>
          <w:lang w:eastAsia="fr-FR"/>
        </w:rPr>
      </w:pPr>
      <w:r w:rsidRPr="00187FC6">
        <w:rPr>
          <w:rFonts w:eastAsia="Times New Roman" w:cs="Lucida Sans Unicode"/>
          <w:sz w:val="24"/>
          <w:szCs w:val="24"/>
          <w:lang w:eastAsia="fr-FR"/>
        </w:rPr>
        <w:t>Chaque année avant le 1</w:t>
      </w:r>
      <w:r w:rsidRPr="00187FC6">
        <w:rPr>
          <w:rFonts w:eastAsia="Times New Roman" w:cs="Lucida Sans Unicode"/>
          <w:sz w:val="24"/>
          <w:szCs w:val="24"/>
          <w:vertAlign w:val="superscript"/>
          <w:lang w:eastAsia="fr-FR"/>
        </w:rPr>
        <w:t>er</w:t>
      </w:r>
      <w:r w:rsidRPr="00187FC6">
        <w:rPr>
          <w:rFonts w:eastAsia="Times New Roman" w:cs="Lucida Sans Unicode"/>
          <w:sz w:val="24"/>
          <w:szCs w:val="24"/>
          <w:lang w:eastAsia="fr-FR"/>
        </w:rPr>
        <w:t xml:space="preserve"> mars, les entreprises d’au moins 50 salariés doivent calculer et publier sur leur site internet leur Index de l’égalité femmes-hommes.</w:t>
      </w:r>
    </w:p>
    <w:p w:rsidR="005C03A7" w:rsidRPr="00187FC6" w:rsidRDefault="005C03A7" w:rsidP="00187FC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Lucida Sans Unicode"/>
          <w:sz w:val="24"/>
          <w:szCs w:val="24"/>
          <w:lang w:eastAsia="fr-FR"/>
        </w:rPr>
      </w:pPr>
      <w:r w:rsidRPr="00187FC6">
        <w:rPr>
          <w:rFonts w:eastAsia="Times New Roman" w:cs="Lucida Sans Unicode"/>
          <w:sz w:val="24"/>
          <w:szCs w:val="24"/>
          <w:lang w:eastAsia="fr-FR"/>
        </w:rPr>
        <w:t xml:space="preserve">L’Index, sur </w:t>
      </w:r>
      <w:r w:rsidRPr="00187FC6">
        <w:rPr>
          <w:rFonts w:eastAsia="Times New Roman" w:cs="Lucida Sans Unicode"/>
          <w:b/>
          <w:bCs/>
          <w:sz w:val="24"/>
          <w:szCs w:val="24"/>
          <w:lang w:eastAsia="fr-FR"/>
        </w:rPr>
        <w:t>100 points</w:t>
      </w:r>
      <w:r w:rsidRPr="00187FC6">
        <w:rPr>
          <w:rFonts w:eastAsia="Times New Roman" w:cs="Lucida Sans Unicode"/>
          <w:sz w:val="24"/>
          <w:szCs w:val="24"/>
          <w:lang w:eastAsia="fr-FR"/>
        </w:rPr>
        <w:t xml:space="preserve">, se calcule à partir de </w:t>
      </w:r>
      <w:r w:rsidRPr="00187FC6">
        <w:rPr>
          <w:rFonts w:eastAsia="Times New Roman" w:cs="Lucida Sans Unicode"/>
          <w:b/>
          <w:bCs/>
          <w:sz w:val="24"/>
          <w:szCs w:val="24"/>
          <w:lang w:eastAsia="fr-FR"/>
        </w:rPr>
        <w:t>4 à 5 indicateurs</w:t>
      </w:r>
      <w:r w:rsidRPr="00187FC6">
        <w:rPr>
          <w:rFonts w:eastAsia="Times New Roman" w:cs="Lucida Sans Unicode"/>
          <w:sz w:val="24"/>
          <w:szCs w:val="24"/>
          <w:lang w:eastAsia="fr-FR"/>
        </w:rPr>
        <w:t xml:space="preserve"> selon que l’entreprise fait moins ou plus de 250 salariés :</w:t>
      </w:r>
    </w:p>
    <w:p w:rsidR="005C03A7" w:rsidRPr="00187FC6" w:rsidRDefault="005C03A7" w:rsidP="00187FC6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eastAsia="Times New Roman" w:cs="Lucida Sans Unicode"/>
          <w:sz w:val="24"/>
          <w:szCs w:val="24"/>
          <w:lang w:eastAsia="fr-FR"/>
        </w:rPr>
      </w:pPr>
      <w:r w:rsidRPr="00187FC6">
        <w:rPr>
          <w:rFonts w:eastAsia="Times New Roman" w:cs="Lucida Sans Unicode"/>
          <w:sz w:val="24"/>
          <w:szCs w:val="24"/>
          <w:lang w:eastAsia="fr-FR"/>
        </w:rPr>
        <w:t>L’écart de rémunération femmes-hommes,</w:t>
      </w:r>
    </w:p>
    <w:p w:rsidR="005C03A7" w:rsidRPr="00187FC6" w:rsidRDefault="005C03A7" w:rsidP="00187FC6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eastAsia="Times New Roman" w:cs="Lucida Sans Unicode"/>
          <w:sz w:val="24"/>
          <w:szCs w:val="24"/>
          <w:lang w:eastAsia="fr-FR"/>
        </w:rPr>
      </w:pPr>
      <w:r w:rsidRPr="00187FC6">
        <w:rPr>
          <w:rFonts w:eastAsia="Times New Roman" w:cs="Lucida Sans Unicode"/>
          <w:sz w:val="24"/>
          <w:szCs w:val="24"/>
          <w:lang w:eastAsia="fr-FR"/>
        </w:rPr>
        <w:t>L’écart de répartition des augmentations individuelles,</w:t>
      </w:r>
    </w:p>
    <w:p w:rsidR="005C03A7" w:rsidRPr="00187FC6" w:rsidRDefault="005C03A7" w:rsidP="00187FC6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eastAsia="Times New Roman" w:cs="Lucida Sans Unicode"/>
          <w:sz w:val="24"/>
          <w:szCs w:val="24"/>
          <w:lang w:eastAsia="fr-FR"/>
        </w:rPr>
      </w:pPr>
      <w:r w:rsidRPr="00187FC6">
        <w:rPr>
          <w:rFonts w:eastAsia="Times New Roman" w:cs="Lucida Sans Unicode"/>
          <w:sz w:val="24"/>
          <w:szCs w:val="24"/>
          <w:lang w:eastAsia="fr-FR"/>
        </w:rPr>
        <w:t>L’écart de répartition des promotions (uniquement dans les entreprises de plus de 250 salariés),</w:t>
      </w:r>
    </w:p>
    <w:p w:rsidR="005C03A7" w:rsidRPr="00187FC6" w:rsidRDefault="005C03A7" w:rsidP="00187FC6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eastAsia="Times New Roman" w:cs="Lucida Sans Unicode"/>
          <w:sz w:val="24"/>
          <w:szCs w:val="24"/>
          <w:lang w:eastAsia="fr-FR"/>
        </w:rPr>
      </w:pPr>
      <w:r w:rsidRPr="00187FC6">
        <w:rPr>
          <w:rFonts w:eastAsia="Times New Roman" w:cs="Lucida Sans Unicode"/>
          <w:sz w:val="24"/>
          <w:szCs w:val="24"/>
          <w:lang w:eastAsia="fr-FR"/>
        </w:rPr>
        <w:t>Le nombre de salariées augmentées à leur retour de congé de maternité,</w:t>
      </w:r>
    </w:p>
    <w:p w:rsidR="005C03A7" w:rsidRPr="00187FC6" w:rsidRDefault="005C03A7" w:rsidP="00187FC6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eastAsia="Times New Roman" w:cs="Lucida Sans Unicode"/>
          <w:sz w:val="24"/>
          <w:szCs w:val="24"/>
          <w:lang w:eastAsia="fr-FR"/>
        </w:rPr>
      </w:pPr>
      <w:r w:rsidRPr="00187FC6">
        <w:rPr>
          <w:rFonts w:eastAsia="Times New Roman" w:cs="Lucida Sans Unicode"/>
          <w:sz w:val="24"/>
          <w:szCs w:val="24"/>
          <w:lang w:eastAsia="fr-FR"/>
        </w:rPr>
        <w:t>La parité parmi les 10 plus hautes rémunérations.</w:t>
      </w:r>
    </w:p>
    <w:p w:rsidR="008C21E2" w:rsidRDefault="008C21E2" w:rsidP="00187FC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:rsidR="00B141A9" w:rsidRPr="00353E89" w:rsidRDefault="005C03A7" w:rsidP="00187FC6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353E89">
        <w:rPr>
          <w:rFonts w:eastAsia="Times New Roman" w:cstheme="minorHAnsi"/>
          <w:b/>
          <w:sz w:val="24"/>
          <w:szCs w:val="24"/>
          <w:lang w:eastAsia="fr-FR"/>
        </w:rPr>
        <w:t>Au 1</w:t>
      </w:r>
      <w:r w:rsidRPr="00353E89">
        <w:rPr>
          <w:rFonts w:eastAsia="Times New Roman" w:cstheme="minorHAnsi"/>
          <w:b/>
          <w:sz w:val="24"/>
          <w:szCs w:val="24"/>
          <w:vertAlign w:val="superscript"/>
          <w:lang w:eastAsia="fr-FR"/>
        </w:rPr>
        <w:t>er</w:t>
      </w:r>
      <w:r w:rsidR="005F669B">
        <w:rPr>
          <w:rFonts w:eastAsia="Times New Roman" w:cstheme="minorHAnsi"/>
          <w:b/>
          <w:sz w:val="24"/>
          <w:szCs w:val="24"/>
          <w:lang w:eastAsia="fr-FR"/>
        </w:rPr>
        <w:t xml:space="preserve"> mars 202</w:t>
      </w:r>
      <w:r w:rsidR="007D6E86">
        <w:rPr>
          <w:rFonts w:eastAsia="Times New Roman" w:cstheme="minorHAnsi"/>
          <w:b/>
          <w:sz w:val="24"/>
          <w:szCs w:val="24"/>
          <w:lang w:eastAsia="fr-FR"/>
        </w:rPr>
        <w:t>6</w:t>
      </w:r>
      <w:r w:rsidR="0071074E" w:rsidRPr="00353E89">
        <w:rPr>
          <w:rFonts w:eastAsia="Times New Roman" w:cstheme="minorHAnsi"/>
          <w:b/>
          <w:sz w:val="24"/>
          <w:szCs w:val="24"/>
          <w:lang w:eastAsia="fr-FR"/>
        </w:rPr>
        <w:t>, pour l’</w:t>
      </w:r>
      <w:proofErr w:type="spellStart"/>
      <w:r w:rsidR="0071074E" w:rsidRPr="00353E89">
        <w:rPr>
          <w:rFonts w:eastAsia="Times New Roman" w:cstheme="minorHAnsi"/>
          <w:b/>
          <w:sz w:val="24"/>
          <w:szCs w:val="24"/>
          <w:lang w:eastAsia="fr-FR"/>
        </w:rPr>
        <w:t>Udaf</w:t>
      </w:r>
      <w:proofErr w:type="spellEnd"/>
      <w:r w:rsidR="0071074E" w:rsidRPr="00353E89">
        <w:rPr>
          <w:rFonts w:eastAsia="Times New Roman" w:cstheme="minorHAnsi"/>
          <w:b/>
          <w:sz w:val="24"/>
          <w:szCs w:val="24"/>
          <w:lang w:eastAsia="fr-FR"/>
        </w:rPr>
        <w:t xml:space="preserve"> de l’Essonne, </w:t>
      </w:r>
      <w:r w:rsidR="0071074E" w:rsidRPr="00353E89">
        <w:rPr>
          <w:rFonts w:eastAsia="Times New Roman" w:cstheme="minorHAnsi"/>
          <w:sz w:val="24"/>
          <w:szCs w:val="24"/>
          <w:lang w:eastAsia="fr-FR"/>
        </w:rPr>
        <w:t>il</w:t>
      </w:r>
      <w:r w:rsidR="0071074E" w:rsidRPr="00353E89">
        <w:rPr>
          <w:rFonts w:eastAsia="Times New Roman" w:cstheme="minorHAnsi"/>
          <w:b/>
          <w:i/>
          <w:sz w:val="24"/>
          <w:szCs w:val="24"/>
          <w:lang w:eastAsia="fr-FR"/>
        </w:rPr>
        <w:t xml:space="preserve"> </w:t>
      </w:r>
      <w:r w:rsidR="0071074E" w:rsidRPr="00353E89">
        <w:rPr>
          <w:rFonts w:cstheme="minorHAnsi"/>
          <w:sz w:val="24"/>
          <w:szCs w:val="24"/>
        </w:rPr>
        <w:t>s’avère que nos indicateurs représentent moins de 75 points. Par conséquent, notre index ne peut pas être calculé.</w:t>
      </w:r>
      <w:r w:rsidR="00187FC6" w:rsidRPr="00353E89">
        <w:rPr>
          <w:rFonts w:eastAsia="Times New Roman" w:cstheme="minorHAnsi"/>
          <w:b/>
          <w:sz w:val="24"/>
          <w:szCs w:val="24"/>
          <w:lang w:eastAsia="fr-FR"/>
        </w:rPr>
        <w:t xml:space="preserve"> Il n’y a donc pas d’obligation de mise en place d’action corrective. </w:t>
      </w:r>
      <w:r w:rsidR="006574B5" w:rsidRPr="00353E89">
        <w:rPr>
          <w:rFonts w:cstheme="minorHAnsi"/>
          <w:sz w:val="24"/>
          <w:szCs w:val="24"/>
        </w:rPr>
        <w:t>La</w:t>
      </w:r>
      <w:r w:rsidR="00920E37" w:rsidRPr="00353E89">
        <w:rPr>
          <w:rFonts w:cstheme="minorHAnsi"/>
          <w:sz w:val="24"/>
          <w:szCs w:val="24"/>
        </w:rPr>
        <w:t xml:space="preserve"> note obtenue est de 0</w:t>
      </w:r>
      <w:r w:rsidR="00B141A9" w:rsidRPr="00353E89">
        <w:rPr>
          <w:rFonts w:cstheme="minorHAnsi"/>
          <w:sz w:val="24"/>
          <w:szCs w:val="24"/>
        </w:rPr>
        <w:t xml:space="preserve">/10, les femmes étant surreprésentées. </w:t>
      </w:r>
      <w:bookmarkStart w:id="0" w:name="_GoBack"/>
      <w:bookmarkEnd w:id="0"/>
    </w:p>
    <w:p w:rsidR="0080334F" w:rsidRPr="00353E89" w:rsidRDefault="0080334F" w:rsidP="00187FC6">
      <w:pPr>
        <w:jc w:val="both"/>
        <w:rPr>
          <w:rFonts w:cstheme="minorHAnsi"/>
          <w:sz w:val="24"/>
          <w:szCs w:val="24"/>
        </w:rPr>
      </w:pPr>
    </w:p>
    <w:sectPr w:rsidR="0080334F" w:rsidRPr="00353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0756B"/>
    <w:multiLevelType w:val="multilevel"/>
    <w:tmpl w:val="A2D2C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16"/>
    <w:rsid w:val="00187FC6"/>
    <w:rsid w:val="00353E89"/>
    <w:rsid w:val="005C03A7"/>
    <w:rsid w:val="005F669B"/>
    <w:rsid w:val="006574B5"/>
    <w:rsid w:val="00673516"/>
    <w:rsid w:val="0071074E"/>
    <w:rsid w:val="007D62CD"/>
    <w:rsid w:val="007D6E86"/>
    <w:rsid w:val="0080334F"/>
    <w:rsid w:val="00824550"/>
    <w:rsid w:val="008C21E2"/>
    <w:rsid w:val="00920E37"/>
    <w:rsid w:val="009629DF"/>
    <w:rsid w:val="00985499"/>
    <w:rsid w:val="00B141A9"/>
    <w:rsid w:val="00E4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BBD8"/>
  <w15:chartTrackingRefBased/>
  <w15:docId w15:val="{F03180E4-6AB3-4E5F-8214-81D16FB7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C03A7"/>
    <w:rPr>
      <w:strike w:val="0"/>
      <w:dstrike w:val="0"/>
      <w:color w:val="EA148C"/>
      <w:u w:val="none"/>
      <w:effect w:val="none"/>
    </w:rPr>
  </w:style>
  <w:style w:type="character" w:styleId="lev">
    <w:name w:val="Strong"/>
    <w:basedOn w:val="Policepardfaut"/>
    <w:uiPriority w:val="22"/>
    <w:qFormat/>
    <w:rsid w:val="005C03A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5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4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1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0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95275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9999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836</Characters>
  <Application>Microsoft Office Word</Application>
  <DocSecurity>0</DocSecurity>
  <Lines>6</Lines>
  <Paragraphs>1</Paragraphs>
  <ScaleCrop>false</ScaleCrop>
  <Company>COVALENCE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CERQUEIRA Brigitte</dc:creator>
  <cp:keywords/>
  <dc:description/>
  <cp:lastModifiedBy>CERQUEIRA Brigitte</cp:lastModifiedBy>
  <cp:revision>17</cp:revision>
  <dcterms:created xsi:type="dcterms:W3CDTF">2020-03-05T21:25:00Z</dcterms:created>
  <dcterms:modified xsi:type="dcterms:W3CDTF">2026-02-04T15:57:00Z</dcterms:modified>
</cp:coreProperties>
</file>